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LLE8007 – Leitura e produção textual acadêmica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 </w:t>
      </w:r>
      <w:r w:rsidDel="00000000" w:rsidR="00000000" w:rsidRPr="00000000">
        <w:rPr>
          <w:rtl w:val="0"/>
        </w:rPr>
        <w:t xml:space="preserve">Leitura e produção de textos técnico-científicos relevantes para o desenvolvimento das atividades acadêmicas, tais como: resumo, resenha, artigo e seminário.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ANTUNES, Irandé. Aula de português: encontro &amp; interação. 2.ed. São Paulo: Parábola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Editorial,2004.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BAKHTIN, Mikhail. Estética da criação verbal. 2. ed. São Paulo: Martins Fontes, 1997.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BAQUERO, Ricardo. Vigotsky y el aprendizaje escolar. Aique. Argentina, 1996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BARBERO, Jesús Martín. La educación desde la comunicación. Norma. Argentina,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2000.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BAS A, Klein I, Lotito L, Vernino, T. Escribir: Apuntes sobre una práctica. Eudeba.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Buenos Aires, 2001. BEAUGRANDE, Robert-Alain y Dressler, Wolfgang. La lingüística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del texto. Barcelona, Ariel, 1997 BRUNER, Jerome. Realidades mentales y mundos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posibles. Los actos de imaginación que dan sentido a la experiencia. Gedisa. Barcelona,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1986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CALVINO, Italo. Las ciudades invisibles. 2000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CAMPS, A., Castelló, M. Las estrategias de enseñanza-aprendizaje en la escritura. 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C. MONEREO, I. Solé. (Coords.). El asesoramiento psicopedagógico: una perspectiva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interaccional yconstructivista. Madrid: Alianza, 1996.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CARLINO, Paula. Enseñar a escribir en todas las materias: cómo hacerlo en la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universidad. Ponència presentada en el Seminario Internacional de Inauguración Subsede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Cátedra UNESCO Lectura y escritura: nuevos desafíos, Facultad de Educación,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Universidad Nacional de Cuyo, Mendoza, 6 d’Abrilde 2002.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CASTELLÓ, M.Comunicar el coneixement. Escriure a la universitat. En C. Monereo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(Coord.) Aprendre aestudiar a la universitat. Barcelona: UOC, 2002.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CHARAUDEAU, Patrick. Linguagem e discurso: modos de organização. São Paulo: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Contexto, 2008. GALLIMORE, Ronald y Tharp, R. Concepción educativa en la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sociedad: enseñanza, escolarización yalfabetización. En Moll, L (comp.), 2003.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