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LLE8068 – Língua, Ensino e Interculturalidade na Educação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Básica (PCC 72h-a)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Reflexão sobre competência linguística intercultural e sua relação com as práticas na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Educaçãobásica, com olhar nas línguas estrangeiras/adicionais.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ALMEIDA FILHO, José Carlos P. de. O professor de língua estrangeira em formação.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3.ed. Campinas:Pontes, 2009.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BRASIL. Secretaria de Educação Fundamental. Parâmetros curriculares nacionais: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terceiro e quarto ciclos do ensino fundamental: língua estrangeira. Brasília, DF: MEC,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SEF, 1998.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CORACINI, Maria José Rodrigues Faria. O jogo discursivo na aula de leitura: língua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materna e língua estrangeira. 3.ed. Campinas: Pontes, 2010.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TOMITCH, L.M.B.; ABRAHÃO, M. H. V.; DAGHLIAN, C.; RISTOFF, D. I. (Orgs). 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interculturalidade no ensino de inglês. Advanced research in English Series- ARES,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Florianópolis: UFSC, 2005.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ALVAREZ, Maria Luiza; GONÇALVES, Luis (Org.). O Mundo do português e 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português no mundo afora: especificidades, implicações e ações. Campinas: Pontes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Editores, 2016.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BARCELOS, Ana Maria (Org.). Linguística aplicada: reflexões sobre ensino 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aprendizagem de língua materna e língua estrangeira. Campinas: Pontes, 2011.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CONCEIÇÃO, Mariney (Org.). Letramentos, crenças de aprendizagem de língua 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inclusão social.Campinas/SP: Pontes Editores, 2016.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SIMÕES, D. M. P.; FIGUEIREDO, F. J. Q. (Org.). Contribuições da linguística aplicada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para o professor de línguas. Campinas-São Paulo: Pontes Editores, 2015.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Páginas eletrônicas: Site da Revista da SIPLE: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http://www.siple.org.br/index.php?option=com_content&amp;view=section&amp;layout=blog&amp;id=9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&amp;Itemid= 85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