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LLE8069 – Língua, norma(s) e ideologias (PCC 72h-a)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Reflexões sobre língua, ideologias, normas e conflitos linguísticos, em diálogo com 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prática doensino aprendizagem de línguas estrangeiras.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BAGNO, Marcos. Linguística da norma. São Paulo: Loyola, 2012.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CORACINI, Maria Jose Rodrigues Faria; BERTOLDO, Ernesto Sérgio. O desejo da teoria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 a contingência da prática: discursos sobre e na sala de aula (língua materna 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língua estrangeira). Campinas: Mercado de Letras, 2003.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LAGARES, Xoan; BAGNO, Marcos. Políticas da norma e conflitos linguísticos. São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Paulo: Parábola, 2011.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CALVET, Louis-Jean. As políticas lingüísticas. São Paulo: Parábola, 2007.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CORACINI, Maria José R. F. Identidade e Discurso: (des)construindo subjetividades.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Campinas:UNICAMP, 2004.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BAGNO, Marcos. Pesquisa na escola: o que é, como se faz.23Ed. São Paulo: Loyola, 2009.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FARACO, Carlos Alberto. Norma culta brasileira: desatando alguns nós. São Paulo: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Parábola Ed.,2008.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RAJAGOPALAN, Kanavillil. Por uma linguística crítica. 2.ed. São Paulo: Parábola Ed.,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2004.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