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Nome da Disciplina</w:t>
      </w:r>
      <w:r w:rsidDel="00000000" w:rsidR="00000000" w:rsidRPr="00000000">
        <w:rPr>
          <w:rtl w:val="0"/>
        </w:rPr>
        <w:t xml:space="preserve">: LLE8073 – Plurilinguismo em Educação Linguística (PCC 72h-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Carga Horária</w:t>
      </w:r>
      <w:r w:rsidDel="00000000" w:rsidR="00000000" w:rsidRPr="00000000">
        <w:rPr>
          <w:rtl w:val="0"/>
        </w:rPr>
        <w:t xml:space="preserve">: 72h/a – 04 créditos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Descrição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Conhecer e analisar as complexidades dos fenômenos ligados ao plurilinguismo e suas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implicações em Educação linguística, as abordagens plurais, a intercompreensão e as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pesquisas no contexto da didática do plurilinguismo, sobretudo em educação básica.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Básica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BOCK, Z., STROUD, C., &amp; DE SOUZA, L. M. (2019). Introduction and Decolonial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Pedagogies, Multilingualism and Literacies. Multilingual Margins: A Journal of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Multilingualism from the Periphery, 6(1), 1-15. https://doi.org/10.14426/mm.v6i1.135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PESSOA, R. R.; SILVESTRE, V. P. V.; MONTE MOR, W. (Eds) Perspectivas críticas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de Educação Linguística no Brasil - Trajetórias e práticas de professoras/es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universitárias/os de inglês. São Paulo: Pá de Palavra - Parábola Editorial, 2018, v.1.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p.280.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ROCHA, Cláudia Hilsdorf. Reflexões e propostas sobre Língua Estrangeira no Ensino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Fundamental I: Plurilinguismo, multiletramentos e transculturalidade. Campinas: Pontes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Coleção INPLA, 2010.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complementar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DERRIDA, Jacques. O monolinguismo do outro ou a prótese de origem. Tradução de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Fernanda Bernardo. Porto: Campo das Letras, 2001.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DUBOC, A. P. M.. Letramento Crítico nas Brechas da Sala de Línguas Estrangeiras. In: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TAKAKI, N. H.; MACIEL, R. F. (Orgs.). Letramentos em Terra de Paulo Freire.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Campinas, SP: Pontes Editores, 2014. p. 209-229.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OLIVEIRA, G. M. DE. &amp; ALTENHOFEN, C. V. O in vitro e o in vivo na política da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diversidade linguística do Brasil: Inserção e exclusão do plurilinguismo na educação e na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sociedade. In: Mello, H. et al. Os contatos linguísticos no Brasil. Belo Horizonte: Editora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UFMG, 2011.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ROCHA, Cláudia Hilsdorf; BRAGA, Denise, CALDAS, Raquel (Orgs.). Políticas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linguísticas, ensino de línguas e formação docente: desafios em tempos de globalização 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internacionalização Campinas: Pontes, 2015.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SEVERO, Cristine Gorski. Uma visão panorâmica das políticas linguísticas no Brasil: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construindo diálogos. Revista da Academia Brasileira de Letras, v. 94, p. 11- 22, 2018.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Em: http://www.academia.org.br/sites/default/files/publicacoes/arquivos/revista_brasileira_9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4_para_internet.pdf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UPHOFF, D. O lugar da política linguística na formação inicial de professores de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alemão. Revista Letras Raras, v. 8, n. 3, p. 112-130, 2019. Disponível em: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http://revistas.ufcg.edu.br/ch/index.php/RLR/article/view/1467/977 (12.07.2021).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