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LLE8077 – Multiletramentos e multimodalidade no ensino 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línguas (PCC 72h-a)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Carga Horária</w:t>
      </w:r>
      <w:r w:rsidDel="00000000" w:rsidR="00000000" w:rsidRPr="00000000">
        <w:rPr>
          <w:rtl w:val="0"/>
        </w:rPr>
        <w:t xml:space="preserve">: 72h/a – 04 créditos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Análise e reflexão sobre produtos midiáticos e o acesso a diferentes tecnologias na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reconfiguração de modelos tradicionais de comunicação, tendo em vista a expansão de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novos produtos multimodais em diferentes meios e linguagens. Desenvolvimento 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ferramentas de análise em linguagens multimodais, bem como a formação em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letramentos múltiplos no contexto de ensino de línguas estrangeiras na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contemporaneidade.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ALMEIDA, D.B. Pelos caminhos do letramento visual: por uma proposta multimodal de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leitura crítica de imagens. In: ARAÚJO, A. D. (Org). Linguagem em foco. Revista do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programa de pós- graduação em linguística aplicada da UECE. Volume 3, no 5, 2011, p.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43-63. Disponível em: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https://revistas.uece.br/index.php/linguagememfoco/article/view/1848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ROJO, R. Letramentos múltiplos, escola e inclusão social. São Paulo: Parábola Editorial,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2009. SANTOS, Z. B. dos; PIMENTA, S. M. O. Da semiótica social à multimodalidade: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 orquestração de significados. CASA: Cadernos de Semiótica Aplicada, v.12, n.2, 2014,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p. 295-324. Disponível em: https://periodicos.fclar.unesp.br/casa/article/view/7243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DIONISIO, A. P. Gêneros Textuais e Multimodalidade. In: KARWOSKI, A. M.;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GAYDECZKA, B.; BRITO, K. S. (Orgs.) Gêneros textuais: reflexões e ensino. São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Paulo: Parábola Editorial, 2011. KRESS, G.; VAN LEEUWEN, T. Multimodal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discourse: the modes and media of contemporary communication. London: Arnold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Publishers, 2001.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_____. Reading images: the grammar of visual design. New York: Routledge, 2006.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RECUERO, R. A conversação em rede: comunicação mediada pelo computador e redes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sociais na Internet. Porto Alegre: Sulina, 2014.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ROJO, R; MOURA, E. Multiletramentos na escola. São Paulo: Parábola Editorial, 2012.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Obs: Outros textos podem ser disponibilizados durante o curso.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