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LLE8078 – Planejamento de Materiais e Recursos Didáticos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para o Ensino de Línguas (PCC 72h-a)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Planejamento de cursos, aulas e avaliações para o ensino de línguas adicionais em escolas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 idiomas e projetos de extensão. Elaboração de planos de ensinos, planos de aula 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sequências didáticas. Adaptação e criação de materiais didáticos e instrumentos 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avaliação. Prática pedagógica colaborativa e reflexiva.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LEFFA, V. J. O professor de línguas [estrangeiras]: construindo a profissão. 2. ed.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Pelotas: EDUCAT, 2008. 447p. Disponível em: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https://www.leffa.pro.br/textos/trabalhos/Professor_de_linguas_2ed.pdf [BU tem 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exemplar da 1a. ed. e 1 exemplar da 2a. edição]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RICHARDS, J. C.; RENANDYA, W. A. Methodology in language teaching: an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anthology of current practice. Cambridge: Cambridge University Press, 2002 VI, 422 p.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[BU tem 10 exemplares]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VIGOTSKY, L. S.; LURIA, A. R.; LEONTIEV, Aleksei Nikolaevich. Linguagem,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desenvolvimento e aprendizagem. 16. ed. São Paulo: Ícone: 2018. 228 p. (Coleção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Educação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ALMEIDA FILHO, J. C. P. O ensino de português como língua não-materna: concepções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 contextos de ensino. São Paulo: Museu da língua portuguesa, 14/05/2009. Disponível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em: http://www.poiesis.org.br/mlp/colunas_interna.php?id_coluna=4.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CONSELHO DA EUROPA. Quadro comum europeu de referência para as línguas: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aprendizagem, ensino, avaliação. Edição portuguesa. Porto: Edições Asa, 2001.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Disponível em: http://area.dge.mec.pt/gramatica/Quadro_Europeu_total.pdf.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KASDORF, L. Jogos no ensino de línguas estrangeiras. Curitiba: UTFPR, 2013.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Disponível em: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http://repositorio.utfpr.edu.br/jspui/bitstream/1/18995/2/CT_CELEM_2012_1_04.pdf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MIRANDA, S.: Oficina de dinâmica de grupos para empresas, escolas e grupos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comunitários. Campinas: Papirus, 2006. [BU tem 1 exemplar] ORGANIZAÇÃO DAS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NAÇÕES UNIDAS. Convenção sobre os Direitos das Pessoas com Deficiência, 2006.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MINISTÉRIO DA EDUCAÇÃO. SECRETARIA DE EDUCAÇÃO ESPECIAL. Política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Nacional de Educação Especial na perspectiva da Educação Inclusiva. Brasília: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MEC/SEESP, 2008. Disponível em: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http://portal.mec.gov.br/arquivos/pdf/politicaeducespecial.pdf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QUEVEDO-CAMARGO, G. Avaliação online: um guia para professores. 1. ed.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Araraquara: Letraria, 2021. v. 1. 63p. Disponível em: https://www.letraria.net/avaliacao-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online-um-guia-para- professores/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QUEVEDO-CAMARGO, G.; PINHEIRO, L. A. Ética na avaliação de línguas adicionais: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da postura docente ao instrumento avaliativo. Estudos em Avaliação Educacional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(Online), v. 32, p. 1-23, 2021. Disponível em: https://doi.org/10.18222/eae.v32.8641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SALDANHA, C. T. (org.) et al. Tradução pedagógica e o ensino de línguas: propostas de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atividades didáticas. São Paulo: Pimenta Cultural, 2021. 125 p. Disponível em: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https://www.pimentacultural.com/_files/ugd/18b7cd_1baf160040734aba8f1eb541473e3e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ee.pdf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SILVA, L.; FARIAS, P.; D’ELY, R. C. S. F. Doing Critical English Language Teaching: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Designing critical tasks to promote critical media literacy. A Cor das Letras, 18, Especial,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99-121, 2017. Disponível em: https://doi.org/10.13102/cl.v18iEspecial.2030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SILVA, S. C.; BECHE, R. C. E.; COSTA, L. M. L. (org.). Estudos da deficiência na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educação: anticapacitismo, interseccionalidade e ética do cuidado. Florianópolis: Editora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UDESC, 2022. 346 p. ISBN 9786588565520.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[BU tem 4 exemplares].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