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LLE8082 – Introdução aos Estudos da Linguagem e Gênero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(PCC 72h-a)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72h/a – 04 créditos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Introdução aos estudos teóricos sobre linguagem e gênero. Percepções binárias 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masculinidade, feminilidade, heteronormatividade e a constituição de subjetividades através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 linguagem. Relação entre a linguagem, gênero e poder, assim como intersecções com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demais marcadores sociais (raça, classe, etc.).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FERREIRA, A. de J. (Org.). Identidades Sociais de Raça, Etnia, Gênero e Sexualidade: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Práticas Pedagógicas em Sala de Aula de Línguas e Formação de Professores/as. Campinas,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SP: Pontes Editora, 2012, p. 19 - 50.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FIGUEI ED , D. C. “ Linguagem e gênero social: contribuições da análise crítica do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discurso e da linguística sistêmico- funcional”. D.E.L.T.A., São Paulo, v. 25, número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especial, 2009, p. 732-75.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VALLADA, A. D.; PINTO, J. P. Cinco décadas de linguística feminista: índices de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consolidação do campo. Revista Estudos Feministas, [S.L.], v. 29, n. 1, p. 1-17, 2021.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FapUNIFESP (SciELO). http://dx.doi.org/10.1590/1806-9584- 2021v29n164988.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JOHNSON, K. E. Understanding language teaching: Reasoning in action. Boston: Heinle &amp;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Heinle, 1999. 149 p.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JOHNSON, K. Second language teacher education: A sociocultural perspective. Nova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York: Routledge, 2009.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TOMITCH, Lêda Maria Braga; HEBERLE, Viviane Maria (Orgs.). Perspectivas atuais de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aprendizagemeensinodelínguas. LLE/CCE/UFSC,2017,408p.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VOLÓCHINOV, V. Marxismo e Filosofia da Linguagem. São Paulo: Editora 34, 2017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[1929]. 176 p.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DUARTE, N.; VIANNA, R. O Círculo de Bakhtin e a Linguística Aplicada. Bakhtiniana,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São Paulo, 7 (2): 142-165, Jul./Dec. 2012.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Obs: Outros textos podem ser disponibilizados durante o curso.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