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LLE8208 – Tópico Especial em Língua Espanhola III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 </w:t>
      </w:r>
      <w:r w:rsidDel="00000000" w:rsidR="00000000" w:rsidRPr="00000000">
        <w:rPr>
          <w:rtl w:val="0"/>
        </w:rPr>
        <w:t xml:space="preserve">(72h/aula)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Ementa:</w:t>
      </w:r>
      <w:r w:rsidDel="00000000" w:rsidR="00000000" w:rsidRPr="00000000">
        <w:rPr>
          <w:rtl w:val="0"/>
        </w:rPr>
        <w:t xml:space="preserve"> Estudos sobre fenômenos em variação e mudança da língua espanhola nos níveis morfológico, morfossintático, sintático e pragmático que se distanciam da gramática do português brasileiro (PB).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BERTOLOTI, Virginia. La gramaticalización de usted: un cambio lingüístico en proceso. Evidencias 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 Uruguay del siglo XIX. Filología lingüística, n. 12(1), p. 149-177, 2010. Disponível em: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https://www.researchgate.net/publication/307798136_La_gramaticalizacion_de_usted_un_cambio_ling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uistico_en_proceso_Evidencias_en_el_Uruguay_del_siglo_XIX. Acesso em set./2021.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BRIZ, Antonio. Un diccionario pensado para estudiantes y profesores de E/LE: diccionario de partículas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discursivas del español (dpde.). Conferencia inaugural del Coloquio Internacional de Español como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Lengua Extranjera 2021: “Pragmática, Gramática e Interculturalidad en ELE y EL2”. Disponível em: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https://www.youtube.com/watch?v=k48j0YUTjDU (00:43:00 – 01:24:00, aproximadamente sem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momento de debate)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COMPANY COMPANY, Concepción. La gramaticalización en la historia del español. Gramaticalización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 cambio sintáctico en la historia del español, número monográfico de Medievalia, 35, pp. 1-62, 2003.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Disponível em: http://www.concepcioncompany.com/2003/08/2003-la-gramaticalizacion-en-la.html. Acesso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em set./2021.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FONTANELLA, María B. de W. Sistemas pronominales de tratamiento usados en el mundo hispánico.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In: BOSQUE, I.; DEMONTE, V. (orgs.). Gramática descriptiva de la lengua española. Madrid: Espasa,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p. 1401-1425, 1999.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OLIVEIRA, Leandra C. de. O multifuncional pretérito perfeito composto espanhol em materiais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didáticos. Calidoscópio, 12(1), 2014, p. 83–93. Disponível em: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http://revistas.unisinos.br/index.php/calidoscopio/article/view/cld.2014.121.09. Acesso em set./2021.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OLIVEIRA, Leandra C. de. Del léxico a la deixis social: reflexiones sobre las formas de tratamiento en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el ámbito de la traducción. Fórum Linguístico 17(2), p. 4770-4786, 2020. Disponível em: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https://periodicos.ufsc.br/index.php/forum/article/view/1984-8412.2020v17n2p4770/44091. Acesso em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set./2021.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PORROCHE BALLESTEROS, Margarita. La sintaxis coloquial. Los marcadores discursivos I: ls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conjunciones que funcionan como marcadores discursivos. In: PORROCHE BALLESTEROS, M.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Aspectos de la gramática del español coloquial para profesores de español como L2. Madrid: Arco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Libros, 2009, p. 95-145)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Complementar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CARRICABURO, Norma. Las formas de tratamiento en el español actual. Madrid: Arco Libros, 1997.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https://edisciplinas.usp.br/pluginfile.php/4435681/mod_resource/content/1/Las%20f%C3%B3rmulas%20de%2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0tratamiento%20en%20el%20espa%C3%B1ol%20actual_N.%20Carricaburo.pdf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OLIVEIRA, Leandra C. de; GESSER, Alison F., GODOY ROA, María A. A relevância presente em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tempo de pandemia: um estudo sobre construções verbais na escrita jornalística. Working Papers em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Linguística – Número temático em homenagem a Edair Görski, 2021 (em edição).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